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D02A1" w14:textId="77777777" w:rsidR="00B82020" w:rsidRDefault="00B82020" w:rsidP="007A11E2">
      <w:bookmarkStart w:id="0" w:name="_GoBack"/>
      <w:bookmarkEnd w:id="0"/>
    </w:p>
    <w:p w14:paraId="73AA8D23" w14:textId="77777777" w:rsidR="00B82020" w:rsidRDefault="00F5319A" w:rsidP="00B82020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Holy Trinity School</w:t>
      </w:r>
    </w:p>
    <w:p w14:paraId="70F56FD2" w14:textId="77777777" w:rsidR="00F5319A" w:rsidRPr="00D204A1" w:rsidRDefault="0021229B" w:rsidP="00B82020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Parent </w:t>
      </w:r>
      <w:r w:rsidR="00F5319A">
        <w:rPr>
          <w:b/>
          <w:sz w:val="36"/>
          <w:szCs w:val="36"/>
        </w:rPr>
        <w:t>Consultation on conversion to Academy status</w:t>
      </w:r>
    </w:p>
    <w:p w14:paraId="12CFD217" w14:textId="77777777" w:rsidR="00B82020" w:rsidRDefault="00F5319A" w:rsidP="00B8202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</w:t>
      </w:r>
      <w:r w:rsidR="00B82020">
        <w:rPr>
          <w:b/>
          <w:sz w:val="36"/>
          <w:szCs w:val="36"/>
        </w:rPr>
        <w:t xml:space="preserve"> 2013</w:t>
      </w:r>
    </w:p>
    <w:p w14:paraId="49BB6724" w14:textId="77777777" w:rsidR="004C1C86" w:rsidRDefault="004C1C86"/>
    <w:p w14:paraId="35709F0E" w14:textId="77777777" w:rsidR="003175FF" w:rsidRPr="003175FF" w:rsidRDefault="003175FF" w:rsidP="005930DC">
      <w:pPr>
        <w:spacing w:after="0"/>
        <w:rPr>
          <w:b/>
          <w:color w:val="548DD4" w:themeColor="text2" w:themeTint="99"/>
          <w:sz w:val="32"/>
          <w:szCs w:val="32"/>
        </w:rPr>
      </w:pPr>
      <w:r w:rsidRPr="003175FF">
        <w:rPr>
          <w:b/>
          <w:color w:val="548DD4" w:themeColor="text2" w:themeTint="99"/>
          <w:sz w:val="32"/>
          <w:szCs w:val="32"/>
        </w:rPr>
        <w:t>Academy background</w:t>
      </w:r>
    </w:p>
    <w:p w14:paraId="3C92A0CC" w14:textId="77777777" w:rsidR="003175FF" w:rsidRDefault="003175FF" w:rsidP="005930DC">
      <w:pPr>
        <w:spacing w:after="0"/>
        <w:rPr>
          <w:b/>
          <w:sz w:val="28"/>
          <w:szCs w:val="28"/>
        </w:rPr>
      </w:pPr>
    </w:p>
    <w:p w14:paraId="602F7B3D" w14:textId="77777777" w:rsidR="00B82020" w:rsidRPr="00B82020" w:rsidRDefault="00B82020" w:rsidP="005930DC">
      <w:pPr>
        <w:spacing w:after="0"/>
        <w:rPr>
          <w:b/>
          <w:sz w:val="28"/>
          <w:szCs w:val="28"/>
        </w:rPr>
      </w:pPr>
      <w:r w:rsidRPr="00B82020">
        <w:rPr>
          <w:b/>
          <w:sz w:val="28"/>
          <w:szCs w:val="28"/>
        </w:rPr>
        <w:t>What is an academy?</w:t>
      </w:r>
    </w:p>
    <w:p w14:paraId="1897B7CB" w14:textId="77777777" w:rsidR="00B82020" w:rsidRDefault="00B82020" w:rsidP="005930DC">
      <w:pPr>
        <w:spacing w:after="0"/>
      </w:pPr>
    </w:p>
    <w:p w14:paraId="0F72980D" w14:textId="77777777" w:rsidR="00B82020" w:rsidRDefault="00B82020" w:rsidP="005930DC">
      <w:pPr>
        <w:spacing w:after="0"/>
      </w:pPr>
      <w:r>
        <w:t xml:space="preserve">An academy is an independent school funded directly from central government. </w:t>
      </w:r>
      <w:r w:rsidR="0021229B">
        <w:t>A</w:t>
      </w:r>
      <w:r>
        <w:t>n academy is not maintained by a Local Authori</w:t>
      </w:r>
      <w:r w:rsidR="0021229B">
        <w:t>ty, and</w:t>
      </w:r>
      <w:r>
        <w:t xml:space="preserve"> is </w:t>
      </w:r>
      <w:proofErr w:type="spellStart"/>
      <w:r w:rsidR="0021229B">
        <w:t>is</w:t>
      </w:r>
      <w:proofErr w:type="spellEnd"/>
      <w:r w:rsidR="0021229B">
        <w:t xml:space="preserve"> therefore </w:t>
      </w:r>
      <w:r>
        <w:t>free of LA control, monitoring, support and intervention.</w:t>
      </w:r>
    </w:p>
    <w:p w14:paraId="3A3FF221" w14:textId="77777777" w:rsidR="00B82020" w:rsidRDefault="00B82020" w:rsidP="005930DC">
      <w:pPr>
        <w:spacing w:after="0"/>
      </w:pPr>
    </w:p>
    <w:p w14:paraId="4238B9CC" w14:textId="77777777" w:rsidR="00B82020" w:rsidRDefault="00B82020" w:rsidP="005930DC">
      <w:pPr>
        <w:spacing w:after="0"/>
      </w:pPr>
      <w:r>
        <w:t>On the DfE website, it states:- “Academies are publicly-funded independent schools that provide a first-class education.”</w:t>
      </w:r>
    </w:p>
    <w:p w14:paraId="153CB0D6" w14:textId="77777777" w:rsidR="00B82020" w:rsidRDefault="00B82020" w:rsidP="005930DC">
      <w:pPr>
        <w:spacing w:after="0"/>
      </w:pPr>
    </w:p>
    <w:p w14:paraId="5458C088" w14:textId="77777777" w:rsidR="005930DC" w:rsidRDefault="005930DC" w:rsidP="005930DC">
      <w:pPr>
        <w:spacing w:after="0"/>
      </w:pPr>
    </w:p>
    <w:p w14:paraId="6BDF037C" w14:textId="77777777" w:rsidR="00B82020" w:rsidRPr="00B82020" w:rsidRDefault="00B82020" w:rsidP="005930DC">
      <w:pPr>
        <w:spacing w:after="0"/>
        <w:rPr>
          <w:b/>
          <w:sz w:val="28"/>
          <w:szCs w:val="28"/>
        </w:rPr>
      </w:pPr>
      <w:r w:rsidRPr="00B82020">
        <w:rPr>
          <w:b/>
          <w:sz w:val="28"/>
          <w:szCs w:val="28"/>
        </w:rPr>
        <w:t>What’s different about academies?</w:t>
      </w:r>
    </w:p>
    <w:p w14:paraId="6595A355" w14:textId="77777777" w:rsidR="00B82020" w:rsidRDefault="00B82020" w:rsidP="005930DC">
      <w:pPr>
        <w:spacing w:after="0"/>
      </w:pPr>
    </w:p>
    <w:p w14:paraId="38A7D450" w14:textId="77777777" w:rsidR="00B82020" w:rsidRDefault="00CF0CD6" w:rsidP="005930DC">
      <w:pPr>
        <w:spacing w:after="0"/>
      </w:pPr>
      <w:r>
        <w:rPr>
          <w:u w:val="single"/>
        </w:rPr>
        <w:t>Benefits</w:t>
      </w:r>
    </w:p>
    <w:p w14:paraId="1988D223" w14:textId="77777777" w:rsidR="00B82020" w:rsidRDefault="00B82020" w:rsidP="005930DC">
      <w:pPr>
        <w:spacing w:after="0"/>
      </w:pPr>
    </w:p>
    <w:p w14:paraId="30F250B9" w14:textId="77777777" w:rsidR="00CF0CD6" w:rsidRDefault="00CF0CD6" w:rsidP="005930DC">
      <w:pPr>
        <w:spacing w:after="0"/>
      </w:pPr>
      <w:r>
        <w:t xml:space="preserve">To innovate and raise standards.  This may include the Curriculum and partnerships with </w:t>
      </w:r>
      <w:r w:rsidR="0021229B">
        <w:t xml:space="preserve">other primary and secondary </w:t>
      </w:r>
      <w:r>
        <w:t>schools.</w:t>
      </w:r>
    </w:p>
    <w:p w14:paraId="5B0F9209" w14:textId="77777777" w:rsidR="00CF0CD6" w:rsidRDefault="00CF0CD6" w:rsidP="005930DC">
      <w:pPr>
        <w:spacing w:after="0"/>
      </w:pPr>
    </w:p>
    <w:p w14:paraId="7F625262" w14:textId="77777777" w:rsidR="00B82020" w:rsidRDefault="00B82020" w:rsidP="005930DC">
      <w:pPr>
        <w:spacing w:after="0"/>
      </w:pPr>
    </w:p>
    <w:p w14:paraId="79FF881D" w14:textId="77777777" w:rsidR="00B82020" w:rsidRDefault="00B82020" w:rsidP="005930DC">
      <w:pPr>
        <w:spacing w:after="0"/>
        <w:rPr>
          <w:u w:val="single"/>
        </w:rPr>
      </w:pPr>
      <w:r>
        <w:rPr>
          <w:u w:val="single"/>
        </w:rPr>
        <w:t>Funding</w:t>
      </w:r>
    </w:p>
    <w:p w14:paraId="5B15ACF4" w14:textId="77777777" w:rsidR="005930DC" w:rsidRDefault="005930DC" w:rsidP="005930DC">
      <w:pPr>
        <w:spacing w:after="0"/>
      </w:pPr>
    </w:p>
    <w:p w14:paraId="6999068C" w14:textId="77777777" w:rsidR="00B82020" w:rsidRDefault="00B82020" w:rsidP="005930DC">
      <w:pPr>
        <w:spacing w:after="0"/>
      </w:pPr>
      <w:r>
        <w:t xml:space="preserve">Academies receive the same level of per-pupil funding </w:t>
      </w:r>
      <w:r w:rsidR="00F5319A">
        <w:t>that</w:t>
      </w:r>
      <w:r>
        <w:t xml:space="preserve"> they would receive from the Local Authority as a maintained </w:t>
      </w:r>
      <w:r w:rsidR="009E7F87">
        <w:t>school, plus</w:t>
      </w:r>
      <w:r>
        <w:t xml:space="preserve"> additions to cover the services that are no longer provided for them by the Local </w:t>
      </w:r>
      <w:r w:rsidR="009E7F87">
        <w:t>Authority</w:t>
      </w:r>
      <w:r>
        <w:t xml:space="preserve">.  However, </w:t>
      </w:r>
      <w:r w:rsidR="005930DC">
        <w:t>A</w:t>
      </w:r>
      <w:r>
        <w:t xml:space="preserve">cademies have greater freedom over how they use their budgets </w:t>
      </w:r>
      <w:r w:rsidR="0021229B">
        <w:t>in the</w:t>
      </w:r>
      <w:r>
        <w:t xml:space="preserve"> best </w:t>
      </w:r>
      <w:r w:rsidR="0021229B">
        <w:t>interest of</w:t>
      </w:r>
      <w:r>
        <w:t xml:space="preserve"> their </w:t>
      </w:r>
      <w:r w:rsidR="0021229B">
        <w:t>pupils</w:t>
      </w:r>
      <w:r>
        <w:t>.</w:t>
      </w:r>
    </w:p>
    <w:p w14:paraId="2E9D1701" w14:textId="77777777" w:rsidR="00B82020" w:rsidRDefault="00B82020" w:rsidP="005930DC">
      <w:pPr>
        <w:spacing w:after="0"/>
      </w:pPr>
    </w:p>
    <w:p w14:paraId="5B885BA7" w14:textId="77777777" w:rsidR="00B82020" w:rsidRDefault="00B82020" w:rsidP="005930DC">
      <w:pPr>
        <w:spacing w:after="0"/>
      </w:pPr>
      <w:r>
        <w:t xml:space="preserve">Academies receive their funding directly from the Young People’s Learning Agency (an agency of the Department for </w:t>
      </w:r>
      <w:r w:rsidR="009E7F87">
        <w:t>Education</w:t>
      </w:r>
      <w:r>
        <w:t>) rather than from Local Authorities.</w:t>
      </w:r>
    </w:p>
    <w:p w14:paraId="1930EACA" w14:textId="77777777" w:rsidR="003175FF" w:rsidRDefault="003175FF">
      <w:pPr>
        <w:rPr>
          <w:u w:val="single"/>
        </w:rPr>
      </w:pPr>
      <w:r>
        <w:rPr>
          <w:u w:val="single"/>
        </w:rPr>
        <w:br w:type="page"/>
      </w:r>
    </w:p>
    <w:p w14:paraId="04AC080D" w14:textId="77777777" w:rsidR="00B82020" w:rsidRDefault="00B82020" w:rsidP="005930DC">
      <w:pPr>
        <w:spacing w:after="0"/>
      </w:pPr>
      <w:r>
        <w:rPr>
          <w:u w:val="single"/>
        </w:rPr>
        <w:lastRenderedPageBreak/>
        <w:t>Governance</w:t>
      </w:r>
    </w:p>
    <w:p w14:paraId="56BD84D5" w14:textId="77777777" w:rsidR="005930DC" w:rsidRDefault="005930DC" w:rsidP="005930DC">
      <w:pPr>
        <w:spacing w:after="0"/>
      </w:pPr>
    </w:p>
    <w:p w14:paraId="3F9DBC5E" w14:textId="77777777" w:rsidR="00B82020" w:rsidRDefault="00B82020" w:rsidP="005930DC">
      <w:pPr>
        <w:spacing w:after="0"/>
      </w:pPr>
      <w:r>
        <w:t xml:space="preserve">The principles of governance are the same in </w:t>
      </w:r>
      <w:r w:rsidR="005930DC">
        <w:t>A</w:t>
      </w:r>
      <w:r>
        <w:t xml:space="preserve">cademies as in maintained schools, but the governing body has greater autonomy.  Academies are required to have at least two </w:t>
      </w:r>
      <w:r w:rsidR="005930DC">
        <w:t>P</w:t>
      </w:r>
      <w:r>
        <w:t xml:space="preserve">arent </w:t>
      </w:r>
      <w:r w:rsidR="005930DC">
        <w:t>G</w:t>
      </w:r>
      <w:r>
        <w:t>overnors.</w:t>
      </w:r>
    </w:p>
    <w:p w14:paraId="21502596" w14:textId="77777777" w:rsidR="00B82020" w:rsidRDefault="00B82020" w:rsidP="005930DC">
      <w:pPr>
        <w:spacing w:after="0"/>
      </w:pPr>
    </w:p>
    <w:p w14:paraId="1ABEB141" w14:textId="77777777" w:rsidR="005930DC" w:rsidRDefault="005930DC" w:rsidP="005930DC">
      <w:pPr>
        <w:spacing w:after="0"/>
      </w:pPr>
    </w:p>
    <w:p w14:paraId="20A2C236" w14:textId="77777777" w:rsidR="00B82020" w:rsidRPr="0023364B" w:rsidRDefault="00B82020" w:rsidP="005930DC">
      <w:pPr>
        <w:spacing w:after="0"/>
        <w:rPr>
          <w:b/>
          <w:sz w:val="28"/>
          <w:szCs w:val="28"/>
        </w:rPr>
      </w:pPr>
      <w:r w:rsidRPr="0023364B">
        <w:rPr>
          <w:b/>
          <w:sz w:val="28"/>
          <w:szCs w:val="28"/>
        </w:rPr>
        <w:t>…and what’s the same?</w:t>
      </w:r>
    </w:p>
    <w:p w14:paraId="1F0162EB" w14:textId="77777777" w:rsidR="00B82020" w:rsidRDefault="00B82020" w:rsidP="005930DC">
      <w:pPr>
        <w:spacing w:after="0"/>
      </w:pPr>
    </w:p>
    <w:p w14:paraId="133C87EC" w14:textId="77777777" w:rsidR="00B82020" w:rsidRDefault="00B82020" w:rsidP="005930DC">
      <w:pPr>
        <w:spacing w:after="0"/>
        <w:rPr>
          <w:u w:val="single"/>
        </w:rPr>
      </w:pPr>
      <w:r>
        <w:rPr>
          <w:u w:val="single"/>
        </w:rPr>
        <w:t>Admissions, special educational needs and exclusions</w:t>
      </w:r>
    </w:p>
    <w:p w14:paraId="14372534" w14:textId="77777777" w:rsidR="005930DC" w:rsidRDefault="005930DC" w:rsidP="005930DC">
      <w:pPr>
        <w:spacing w:after="0"/>
      </w:pPr>
    </w:p>
    <w:p w14:paraId="229B05C6" w14:textId="77777777" w:rsidR="0023364B" w:rsidRDefault="0023364B" w:rsidP="005930DC">
      <w:pPr>
        <w:spacing w:after="0"/>
      </w:pPr>
      <w:r w:rsidRPr="0023364B">
        <w:t>Academies</w:t>
      </w:r>
      <w:r>
        <w:t xml:space="preserve"> are required to follow the law and guidance on admissions, special educational needs and exclusions as if they were maintained schools.</w:t>
      </w:r>
      <w:r w:rsidR="003175FF">
        <w:t xml:space="preserve">   The Board of Directors is the Admissions Authority.</w:t>
      </w:r>
    </w:p>
    <w:p w14:paraId="30393427" w14:textId="77777777" w:rsidR="0023364B" w:rsidRDefault="0023364B" w:rsidP="005930DC">
      <w:pPr>
        <w:spacing w:after="0"/>
      </w:pPr>
    </w:p>
    <w:p w14:paraId="1D9290FD" w14:textId="77777777" w:rsidR="0023364B" w:rsidRPr="0023364B" w:rsidRDefault="0023364B" w:rsidP="005930DC">
      <w:pPr>
        <w:spacing w:after="0"/>
        <w:rPr>
          <w:u w:val="single"/>
        </w:rPr>
      </w:pPr>
      <w:r w:rsidRPr="0023364B">
        <w:rPr>
          <w:u w:val="single"/>
        </w:rPr>
        <w:t>Collaboration</w:t>
      </w:r>
    </w:p>
    <w:p w14:paraId="1AD10511" w14:textId="77777777" w:rsidR="005930DC" w:rsidRDefault="005930DC" w:rsidP="005930DC">
      <w:pPr>
        <w:spacing w:after="0"/>
      </w:pPr>
    </w:p>
    <w:p w14:paraId="5FBC17C5" w14:textId="77777777" w:rsidR="0023364B" w:rsidRDefault="0023364B" w:rsidP="005930DC">
      <w:pPr>
        <w:spacing w:after="0"/>
      </w:pPr>
      <w:r>
        <w:t>Academies have to ensure that the school will be at the heart of its community, collaborating and sharing facilities and expertise with other schools and the wider community.</w:t>
      </w:r>
    </w:p>
    <w:p w14:paraId="4DE8BC0E" w14:textId="77777777" w:rsidR="0023364B" w:rsidRDefault="0023364B" w:rsidP="005930DC">
      <w:pPr>
        <w:spacing w:after="0"/>
      </w:pPr>
    </w:p>
    <w:p w14:paraId="7483369B" w14:textId="77777777" w:rsidR="005930DC" w:rsidRDefault="005930DC" w:rsidP="005930DC">
      <w:pPr>
        <w:spacing w:after="0"/>
        <w:rPr>
          <w:b/>
          <w:sz w:val="28"/>
          <w:szCs w:val="28"/>
        </w:rPr>
      </w:pPr>
    </w:p>
    <w:p w14:paraId="68D2CA1F" w14:textId="77777777" w:rsidR="0023364B" w:rsidRPr="0023364B" w:rsidRDefault="0023364B" w:rsidP="005930DC">
      <w:pPr>
        <w:spacing w:after="0"/>
        <w:rPr>
          <w:b/>
          <w:sz w:val="28"/>
          <w:szCs w:val="28"/>
        </w:rPr>
      </w:pPr>
      <w:r w:rsidRPr="0023364B">
        <w:rPr>
          <w:b/>
          <w:sz w:val="28"/>
          <w:szCs w:val="28"/>
        </w:rPr>
        <w:t>What is a Multi-Academy Company</w:t>
      </w:r>
      <w:r w:rsidR="002501E6">
        <w:rPr>
          <w:b/>
          <w:sz w:val="28"/>
          <w:szCs w:val="28"/>
        </w:rPr>
        <w:t xml:space="preserve"> within the Archdiocese of Birmingham</w:t>
      </w:r>
      <w:r w:rsidRPr="0023364B">
        <w:rPr>
          <w:b/>
          <w:sz w:val="28"/>
          <w:szCs w:val="28"/>
        </w:rPr>
        <w:t>?</w:t>
      </w:r>
    </w:p>
    <w:p w14:paraId="79A1042A" w14:textId="77777777" w:rsidR="0023364B" w:rsidRDefault="0023364B" w:rsidP="005930DC">
      <w:pPr>
        <w:spacing w:after="0"/>
      </w:pPr>
    </w:p>
    <w:p w14:paraId="3129B798" w14:textId="77777777" w:rsidR="0023364B" w:rsidRDefault="0023364B" w:rsidP="005930DC">
      <w:pPr>
        <w:spacing w:after="0"/>
      </w:pPr>
      <w:r>
        <w:t xml:space="preserve">Using the Multi-Academy Company model ensures that individual </w:t>
      </w:r>
      <w:r w:rsidR="005930DC">
        <w:t>A</w:t>
      </w:r>
      <w:r>
        <w:t xml:space="preserve">cademies are part of a family of Catholic </w:t>
      </w:r>
      <w:r w:rsidR="005930DC">
        <w:t>A</w:t>
      </w:r>
      <w:r>
        <w:t xml:space="preserve">cademies.  This family of </w:t>
      </w:r>
      <w:r w:rsidR="005930DC">
        <w:t>A</w:t>
      </w:r>
      <w:r>
        <w:t>cademies work with and support each other under the control of</w:t>
      </w:r>
      <w:r w:rsidR="005930DC">
        <w:t>,</w:t>
      </w:r>
      <w:r>
        <w:t xml:space="preserve"> and reporting to</w:t>
      </w:r>
      <w:r w:rsidR="005930DC">
        <w:t>,</w:t>
      </w:r>
      <w:r>
        <w:t xml:space="preserve"> a single Board of Directors.  The Directors delegate some operational co</w:t>
      </w:r>
      <w:r w:rsidR="00C20CE2">
        <w:t xml:space="preserve">ntrol of each individual </w:t>
      </w:r>
      <w:r w:rsidR="005930DC">
        <w:t>A</w:t>
      </w:r>
      <w:r w:rsidR="00C20CE2">
        <w:t>cademy to its specific Academy Committee through a Scheme of Delegation.</w:t>
      </w:r>
      <w:r w:rsidR="005930DC">
        <w:t xml:space="preserve"> </w:t>
      </w:r>
      <w:r w:rsidR="00C20CE2">
        <w:t xml:space="preserve"> The members of each Academy Committee are known as Academy Representatives.</w:t>
      </w:r>
    </w:p>
    <w:p w14:paraId="28751145" w14:textId="77777777" w:rsidR="00C20CE2" w:rsidRDefault="00C20CE2" w:rsidP="005930DC">
      <w:pPr>
        <w:spacing w:after="0"/>
      </w:pPr>
    </w:p>
    <w:p w14:paraId="2E244FBF" w14:textId="77777777" w:rsidR="00C20CE2" w:rsidRDefault="00C20CE2" w:rsidP="005930DC">
      <w:pPr>
        <w:spacing w:after="0"/>
      </w:pPr>
      <w:r>
        <w:t>The MAC model roots</w:t>
      </w:r>
      <w:r w:rsidR="00F5319A">
        <w:t>: -</w:t>
      </w:r>
    </w:p>
    <w:p w14:paraId="42141765" w14:textId="77777777" w:rsidR="00C20CE2" w:rsidRDefault="00C20CE2" w:rsidP="005930DC">
      <w:pPr>
        <w:spacing w:after="0"/>
      </w:pPr>
    </w:p>
    <w:p w14:paraId="17D262B3" w14:textId="77777777" w:rsidR="00C20CE2" w:rsidRDefault="00C20CE2" w:rsidP="005930DC">
      <w:pPr>
        <w:pStyle w:val="ListParagraph"/>
        <w:numPr>
          <w:ilvl w:val="0"/>
          <w:numId w:val="3"/>
        </w:numPr>
        <w:spacing w:after="0"/>
        <w:ind w:left="567" w:hanging="567"/>
      </w:pPr>
      <w:r>
        <w:t>The Catholic character; the canonical and legal identi</w:t>
      </w:r>
      <w:r w:rsidR="005930DC">
        <w:t>t</w:t>
      </w:r>
      <w:r>
        <w:t>y</w:t>
      </w:r>
    </w:p>
    <w:p w14:paraId="7D211ACE" w14:textId="77777777" w:rsidR="00C20CE2" w:rsidRDefault="00C20CE2" w:rsidP="005930DC">
      <w:pPr>
        <w:pStyle w:val="ListParagraph"/>
        <w:numPr>
          <w:ilvl w:val="0"/>
          <w:numId w:val="3"/>
        </w:numPr>
        <w:spacing w:after="0"/>
        <w:ind w:left="567" w:hanging="567"/>
      </w:pPr>
      <w:r>
        <w:t xml:space="preserve">The educational aims and purposes </w:t>
      </w:r>
    </w:p>
    <w:p w14:paraId="7A0E505C" w14:textId="77777777" w:rsidR="00C20CE2" w:rsidRDefault="00C20CE2" w:rsidP="005930DC">
      <w:pPr>
        <w:pStyle w:val="ListParagraph"/>
        <w:numPr>
          <w:ilvl w:val="0"/>
          <w:numId w:val="3"/>
        </w:numPr>
        <w:spacing w:after="0"/>
        <w:ind w:left="567" w:hanging="567"/>
      </w:pPr>
      <w:r>
        <w:t xml:space="preserve">The strategic governance and local management of the </w:t>
      </w:r>
      <w:r w:rsidR="005930DC">
        <w:t>A</w:t>
      </w:r>
      <w:r>
        <w:t>cademies</w:t>
      </w:r>
    </w:p>
    <w:p w14:paraId="122DDF9F" w14:textId="77777777" w:rsidR="005930DC" w:rsidRDefault="005930DC" w:rsidP="005930DC">
      <w:pPr>
        <w:spacing w:after="0"/>
      </w:pPr>
    </w:p>
    <w:p w14:paraId="04E89688" w14:textId="77777777" w:rsidR="00C20CE2" w:rsidRDefault="00C20CE2" w:rsidP="005930DC">
      <w:pPr>
        <w:spacing w:after="0"/>
      </w:pPr>
      <w:r>
        <w:t>The MAC secures for all: “who we are” and “what we are about” but still offers the freedoms for all the individual members</w:t>
      </w:r>
      <w:r w:rsidR="0035320D">
        <w:t xml:space="preserve"> to</w:t>
      </w:r>
      <w:r>
        <w:t xml:space="preserve"> participate in other inclusive relationships and partnerships of a more temporary or transient nature in accordance with the specific needs of member</w:t>
      </w:r>
      <w:r w:rsidR="0035320D">
        <w:t>s</w:t>
      </w:r>
      <w:r>
        <w:t xml:space="preserve"> of the communion of </w:t>
      </w:r>
      <w:r w:rsidR="0035320D">
        <w:t>A</w:t>
      </w:r>
      <w:r>
        <w:t>cademies.</w:t>
      </w:r>
    </w:p>
    <w:p w14:paraId="69E3829F" w14:textId="77777777" w:rsidR="00CF0CD6" w:rsidRDefault="00CF0CD6" w:rsidP="005930DC">
      <w:pPr>
        <w:spacing w:after="0"/>
      </w:pPr>
    </w:p>
    <w:p w14:paraId="5816F5D6" w14:textId="77777777" w:rsidR="00CF0CD6" w:rsidRDefault="00992327" w:rsidP="005930DC">
      <w:pPr>
        <w:spacing w:after="0"/>
      </w:pPr>
      <w:r>
        <w:t>Each school keeps its distinct character and operational matters are still dealt with at school level.</w:t>
      </w:r>
    </w:p>
    <w:p w14:paraId="03E1F80D" w14:textId="77777777" w:rsidR="00992327" w:rsidRDefault="00992327" w:rsidP="005930DC">
      <w:pPr>
        <w:spacing w:after="0"/>
      </w:pPr>
    </w:p>
    <w:p w14:paraId="0EF5AE04" w14:textId="77777777" w:rsidR="00992327" w:rsidRDefault="00992327" w:rsidP="005930DC">
      <w:pPr>
        <w:spacing w:after="0"/>
      </w:pPr>
    </w:p>
    <w:p w14:paraId="02219823" w14:textId="77777777" w:rsidR="003175FF" w:rsidRDefault="003175F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DD63188" w14:textId="77777777" w:rsidR="00C20CE2" w:rsidRPr="00C20CE2" w:rsidRDefault="00C20CE2" w:rsidP="005930DC">
      <w:pPr>
        <w:spacing w:after="0"/>
        <w:rPr>
          <w:b/>
          <w:sz w:val="28"/>
          <w:szCs w:val="28"/>
        </w:rPr>
      </w:pPr>
      <w:r w:rsidRPr="00C20CE2">
        <w:rPr>
          <w:b/>
          <w:sz w:val="28"/>
          <w:szCs w:val="28"/>
        </w:rPr>
        <w:lastRenderedPageBreak/>
        <w:t>Will we lose our Catholic ethos on conversion?</w:t>
      </w:r>
    </w:p>
    <w:p w14:paraId="7D371ECC" w14:textId="77777777" w:rsidR="00C20CE2" w:rsidRDefault="00C20CE2" w:rsidP="005930DC">
      <w:pPr>
        <w:spacing w:after="0"/>
      </w:pPr>
    </w:p>
    <w:p w14:paraId="46A57AA2" w14:textId="77777777" w:rsidR="00C20CE2" w:rsidRDefault="00C20CE2" w:rsidP="005930DC">
      <w:pPr>
        <w:spacing w:after="0"/>
      </w:pPr>
      <w:r>
        <w:t xml:space="preserve">The set of </w:t>
      </w:r>
      <w:r w:rsidR="0035320D">
        <w:t>A</w:t>
      </w:r>
      <w:r>
        <w:t>cademy conversion documents for use in the Archdiocese of Birmingham are all legally binding and protect the Catholic character and ethos of the schools</w:t>
      </w:r>
      <w:r w:rsidR="0035320D">
        <w:t>,</w:t>
      </w:r>
      <w:r>
        <w:t xml:space="preserve"> if they wish to convert to </w:t>
      </w:r>
      <w:r w:rsidR="0035320D">
        <w:t>A</w:t>
      </w:r>
      <w:r>
        <w:t>cademy status.</w:t>
      </w:r>
    </w:p>
    <w:p w14:paraId="555E82E0" w14:textId="77777777" w:rsidR="00C20CE2" w:rsidRDefault="00C20CE2" w:rsidP="005930DC">
      <w:pPr>
        <w:spacing w:after="0"/>
      </w:pPr>
    </w:p>
    <w:p w14:paraId="25CFA60A" w14:textId="77777777" w:rsidR="0035320D" w:rsidRDefault="0035320D" w:rsidP="005930DC">
      <w:pPr>
        <w:spacing w:after="0"/>
      </w:pPr>
    </w:p>
    <w:p w14:paraId="2A219F3B" w14:textId="77777777" w:rsidR="00C20CE2" w:rsidRPr="0040362C" w:rsidRDefault="00C20CE2" w:rsidP="005930DC">
      <w:pPr>
        <w:spacing w:after="0"/>
        <w:rPr>
          <w:b/>
          <w:sz w:val="28"/>
          <w:szCs w:val="28"/>
        </w:rPr>
      </w:pPr>
      <w:r w:rsidRPr="0040362C">
        <w:rPr>
          <w:b/>
          <w:sz w:val="28"/>
          <w:szCs w:val="28"/>
        </w:rPr>
        <w:t>How many principals are there on the Multi-Academy Company Board of Directors?</w:t>
      </w:r>
    </w:p>
    <w:p w14:paraId="66E66CDA" w14:textId="77777777" w:rsidR="00C20CE2" w:rsidRDefault="00C20CE2" w:rsidP="005930DC">
      <w:pPr>
        <w:spacing w:after="0"/>
      </w:pPr>
    </w:p>
    <w:p w14:paraId="30EADFE8" w14:textId="77777777" w:rsidR="002501E6" w:rsidRDefault="002501E6" w:rsidP="005930DC">
      <w:pPr>
        <w:pStyle w:val="ListParagraph"/>
        <w:numPr>
          <w:ilvl w:val="0"/>
          <w:numId w:val="4"/>
        </w:numPr>
        <w:spacing w:after="0"/>
        <w:ind w:left="567" w:hanging="567"/>
      </w:pPr>
      <w:r>
        <w:t xml:space="preserve">A maximum of two of the Principals of the Academies may be appointed as Directors </w:t>
      </w:r>
    </w:p>
    <w:p w14:paraId="3D9C92A9" w14:textId="77777777" w:rsidR="00C20CE2" w:rsidRDefault="00C20CE2" w:rsidP="005930DC">
      <w:pPr>
        <w:pStyle w:val="ListParagraph"/>
        <w:numPr>
          <w:ilvl w:val="0"/>
          <w:numId w:val="4"/>
        </w:numPr>
        <w:spacing w:after="0"/>
        <w:ind w:left="567" w:hanging="567"/>
      </w:pPr>
      <w:r>
        <w:t>If an Executive Principal is appointed then the Executive Principal alone is appointed to the Board of Directors</w:t>
      </w:r>
      <w:r w:rsidR="0040362C">
        <w:t xml:space="preserve"> </w:t>
      </w:r>
    </w:p>
    <w:p w14:paraId="3AB32CE5" w14:textId="77777777" w:rsidR="0040362C" w:rsidRDefault="0040362C" w:rsidP="005930DC">
      <w:pPr>
        <w:pStyle w:val="ListParagraph"/>
        <w:numPr>
          <w:ilvl w:val="0"/>
          <w:numId w:val="4"/>
        </w:numPr>
        <w:spacing w:after="0"/>
        <w:ind w:left="567" w:hanging="567"/>
      </w:pPr>
      <w:r>
        <w:t xml:space="preserve">A maximum of two Staff Directors </w:t>
      </w:r>
      <w:r w:rsidR="003175FF">
        <w:t>[</w:t>
      </w:r>
      <w:r w:rsidR="003175FF">
        <w:rPr>
          <w:i/>
        </w:rPr>
        <w:t>Staff Directors are selected through a process determined by Members of the MAC</w:t>
      </w:r>
      <w:r w:rsidR="003175FF">
        <w:t>]</w:t>
      </w:r>
    </w:p>
    <w:p w14:paraId="06CE1C52" w14:textId="77777777" w:rsidR="002501E6" w:rsidRDefault="0040362C" w:rsidP="005930DC">
      <w:pPr>
        <w:pStyle w:val="ListParagraph"/>
        <w:numPr>
          <w:ilvl w:val="0"/>
          <w:numId w:val="4"/>
        </w:numPr>
        <w:spacing w:after="0"/>
        <w:ind w:left="567" w:hanging="567"/>
      </w:pPr>
      <w:r>
        <w:t>Two Parent Directors</w:t>
      </w:r>
      <w:r w:rsidR="003175FF">
        <w:t xml:space="preserve"> [</w:t>
      </w:r>
      <w:r w:rsidR="003175FF">
        <w:rPr>
          <w:i/>
        </w:rPr>
        <w:t>Parent Directors shall be elected by parents of registered pupils at the Academies.  Each selected Parent Director must be a parent of a registered pupil at one of the Academies at the time when he/she was elected</w:t>
      </w:r>
      <w:r w:rsidR="003175FF">
        <w:t>]</w:t>
      </w:r>
    </w:p>
    <w:p w14:paraId="2C212213" w14:textId="77777777" w:rsidR="0040362C" w:rsidRDefault="002501E6" w:rsidP="005930DC">
      <w:pPr>
        <w:pStyle w:val="ListParagraph"/>
        <w:numPr>
          <w:ilvl w:val="0"/>
          <w:numId w:val="4"/>
        </w:numPr>
        <w:spacing w:after="0"/>
        <w:ind w:left="567" w:hanging="567"/>
      </w:pPr>
      <w:r>
        <w:t>There are eight Foundation Governors</w:t>
      </w:r>
      <w:r w:rsidR="0040362C">
        <w:t xml:space="preserve"> </w:t>
      </w:r>
    </w:p>
    <w:p w14:paraId="0E24F3CB" w14:textId="77777777" w:rsidR="0040362C" w:rsidRDefault="0040362C" w:rsidP="005930DC">
      <w:pPr>
        <w:spacing w:after="0"/>
      </w:pPr>
    </w:p>
    <w:p w14:paraId="3AA971C3" w14:textId="77777777" w:rsidR="0040362C" w:rsidRDefault="0040362C" w:rsidP="005930DC">
      <w:pPr>
        <w:spacing w:after="0"/>
      </w:pPr>
      <w:r>
        <w:t xml:space="preserve">The reason for Foundation Directors being in the majority is </w:t>
      </w:r>
      <w:r w:rsidR="0021229B">
        <w:t xml:space="preserve">to ensure </w:t>
      </w:r>
      <w:r>
        <w:t xml:space="preserve">that the Diocesan Bishop retains control over the provision of Catholic schools in the Diocese, in accordance with his canonical authority and responsibilities.  Only the Diocesan </w:t>
      </w:r>
      <w:r w:rsidR="009E7F87">
        <w:t>Bishop</w:t>
      </w:r>
      <w:r>
        <w:t xml:space="preserve"> has authority to permit a school to be titled a ‘Catholic school’.</w:t>
      </w:r>
    </w:p>
    <w:p w14:paraId="117E1677" w14:textId="77777777" w:rsidR="0040362C" w:rsidRDefault="0040362C" w:rsidP="005930DC">
      <w:pPr>
        <w:spacing w:after="0"/>
      </w:pPr>
    </w:p>
    <w:p w14:paraId="2D3097CB" w14:textId="77777777" w:rsidR="002501E6" w:rsidRDefault="0040362C" w:rsidP="002501E6">
      <w:pPr>
        <w:spacing w:after="0"/>
      </w:pPr>
      <w:r>
        <w:t>If the structural benefits of MACs are to be realised, there needs to be a willingness to innovate, developing new (and in some cases, radically different) approaches to: accountability; collaborative practice; distributed and collective leadership; teamwork; use of budgets; and deployment of resources, hum</w:t>
      </w:r>
      <w:r w:rsidR="002501E6">
        <w:t>an, financial and material.  The key areas of collaboration within which the schools could work together are</w:t>
      </w:r>
      <w:r w:rsidR="00F5319A">
        <w:t>: -</w:t>
      </w:r>
      <w:r w:rsidR="002501E6">
        <w:br/>
      </w:r>
    </w:p>
    <w:p w14:paraId="3C3C01F1" w14:textId="77777777" w:rsidR="002501E6" w:rsidRDefault="002501E6" w:rsidP="002501E6">
      <w:pPr>
        <w:pStyle w:val="ListParagraph"/>
        <w:numPr>
          <w:ilvl w:val="0"/>
          <w:numId w:val="6"/>
        </w:numPr>
        <w:spacing w:after="0"/>
        <w:ind w:left="567" w:hanging="567"/>
      </w:pPr>
      <w:r>
        <w:t>Spiritual life</w:t>
      </w:r>
    </w:p>
    <w:p w14:paraId="6523410E" w14:textId="77777777" w:rsidR="002501E6" w:rsidRDefault="002501E6" w:rsidP="002501E6">
      <w:pPr>
        <w:pStyle w:val="ListParagraph"/>
        <w:numPr>
          <w:ilvl w:val="0"/>
          <w:numId w:val="6"/>
        </w:numPr>
        <w:spacing w:after="0"/>
        <w:ind w:left="567" w:hanging="567"/>
      </w:pPr>
      <w:r>
        <w:t>Safeguarding/health and safety</w:t>
      </w:r>
    </w:p>
    <w:p w14:paraId="1483B35E" w14:textId="77777777" w:rsidR="002501E6" w:rsidRDefault="002501E6" w:rsidP="002501E6">
      <w:pPr>
        <w:pStyle w:val="ListParagraph"/>
        <w:numPr>
          <w:ilvl w:val="0"/>
          <w:numId w:val="6"/>
        </w:numPr>
        <w:spacing w:after="0"/>
        <w:ind w:left="567" w:hanging="567"/>
      </w:pPr>
      <w:r>
        <w:t>New technologies</w:t>
      </w:r>
    </w:p>
    <w:p w14:paraId="1B84EB9A" w14:textId="77777777" w:rsidR="002501E6" w:rsidRDefault="002501E6" w:rsidP="002501E6">
      <w:pPr>
        <w:pStyle w:val="ListParagraph"/>
        <w:numPr>
          <w:ilvl w:val="0"/>
          <w:numId w:val="6"/>
        </w:numPr>
        <w:spacing w:after="0"/>
        <w:ind w:left="567" w:hanging="567"/>
      </w:pPr>
      <w:r>
        <w:t>Community</w:t>
      </w:r>
    </w:p>
    <w:p w14:paraId="554F2D3D" w14:textId="77777777" w:rsidR="002501E6" w:rsidRDefault="002501E6" w:rsidP="002501E6">
      <w:pPr>
        <w:pStyle w:val="ListParagraph"/>
        <w:numPr>
          <w:ilvl w:val="0"/>
          <w:numId w:val="6"/>
        </w:numPr>
        <w:spacing w:after="0"/>
        <w:ind w:left="567" w:hanging="567"/>
      </w:pPr>
      <w:r>
        <w:t>Self-evaluation</w:t>
      </w:r>
    </w:p>
    <w:p w14:paraId="59876323" w14:textId="77777777" w:rsidR="002501E6" w:rsidRDefault="002501E6" w:rsidP="002501E6">
      <w:pPr>
        <w:pStyle w:val="ListParagraph"/>
        <w:numPr>
          <w:ilvl w:val="0"/>
          <w:numId w:val="6"/>
        </w:numPr>
        <w:spacing w:after="0"/>
        <w:ind w:left="567" w:hanging="567"/>
      </w:pPr>
      <w:r>
        <w:t>Teaching and learning</w:t>
      </w:r>
    </w:p>
    <w:p w14:paraId="39F317B9" w14:textId="77777777" w:rsidR="002501E6" w:rsidRDefault="002501E6" w:rsidP="002501E6">
      <w:pPr>
        <w:pStyle w:val="ListParagraph"/>
        <w:numPr>
          <w:ilvl w:val="0"/>
          <w:numId w:val="6"/>
        </w:numPr>
        <w:spacing w:after="0"/>
        <w:ind w:left="567" w:hanging="567"/>
      </w:pPr>
      <w:r>
        <w:t>Specialism</w:t>
      </w:r>
    </w:p>
    <w:p w14:paraId="3DE1DE29" w14:textId="77777777" w:rsidR="00F43980" w:rsidRDefault="00F43980" w:rsidP="005930DC">
      <w:pPr>
        <w:spacing w:after="0"/>
      </w:pPr>
    </w:p>
    <w:p w14:paraId="1D14AF73" w14:textId="77777777" w:rsidR="002501E6" w:rsidRDefault="002501E6">
      <w:pPr>
        <w:rPr>
          <w:b/>
          <w:sz w:val="28"/>
          <w:szCs w:val="28"/>
        </w:rPr>
      </w:pPr>
    </w:p>
    <w:p w14:paraId="3D9B9F7A" w14:textId="77777777" w:rsidR="003D3041" w:rsidRDefault="003D304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641D6DA" w14:textId="77777777" w:rsidR="00F43980" w:rsidRPr="008024D1" w:rsidRDefault="00F43980" w:rsidP="005930DC">
      <w:pPr>
        <w:spacing w:after="0"/>
        <w:rPr>
          <w:b/>
          <w:sz w:val="28"/>
          <w:szCs w:val="28"/>
        </w:rPr>
      </w:pPr>
      <w:r w:rsidRPr="008024D1">
        <w:rPr>
          <w:b/>
          <w:sz w:val="28"/>
          <w:szCs w:val="28"/>
        </w:rPr>
        <w:lastRenderedPageBreak/>
        <w:t>Consulting interested parties about becoming an Academy</w:t>
      </w:r>
    </w:p>
    <w:p w14:paraId="76DC2044" w14:textId="77777777" w:rsidR="00F43980" w:rsidRDefault="00F43980" w:rsidP="005930DC">
      <w:pPr>
        <w:spacing w:after="0"/>
      </w:pPr>
    </w:p>
    <w:p w14:paraId="75CEBDF2" w14:textId="77777777" w:rsidR="00F43980" w:rsidRDefault="009E7F87" w:rsidP="005930DC">
      <w:pPr>
        <w:spacing w:after="0"/>
      </w:pPr>
      <w:r>
        <w:t>Governing</w:t>
      </w:r>
      <w:r w:rsidR="008024D1">
        <w:t xml:space="preserve"> B</w:t>
      </w:r>
      <w:r>
        <w:t>odies of schools that wish to convert to become Academies are required by the Academies Act 2010 to carry out a consultation on the conversion process with appropriate stakeholders before entering into a Funding Agreem</w:t>
      </w:r>
      <w:r w:rsidR="002501E6">
        <w:t>ent with the Secretary of State.</w:t>
      </w:r>
      <w:r>
        <w:t xml:space="preserve"> </w:t>
      </w:r>
      <w:r w:rsidR="00CF0CD6">
        <w:t xml:space="preserve"> This will include TUPE consultations.  </w:t>
      </w:r>
      <w:r>
        <w:t xml:space="preserve"> </w:t>
      </w:r>
      <w:r w:rsidR="00F43980">
        <w:t xml:space="preserve">The Secretary of </w:t>
      </w:r>
      <w:r w:rsidR="008024D1">
        <w:t>S</w:t>
      </w:r>
      <w:r w:rsidR="00F43980">
        <w:t xml:space="preserve">tate will therefore need to ensure that </w:t>
      </w:r>
      <w:r w:rsidR="00F5319A">
        <w:t>the Governing Body of the school has carried out such consultation</w:t>
      </w:r>
      <w:r w:rsidR="00F43980">
        <w:t xml:space="preserve"> before he can sign a Funding Agreement.</w:t>
      </w:r>
    </w:p>
    <w:p w14:paraId="1759E6D3" w14:textId="77777777" w:rsidR="00F43980" w:rsidRDefault="00F43980" w:rsidP="005930DC">
      <w:pPr>
        <w:spacing w:after="0"/>
      </w:pPr>
    </w:p>
    <w:p w14:paraId="6EF8F482" w14:textId="77777777" w:rsidR="00EA1819" w:rsidRDefault="00EA1819" w:rsidP="005930DC">
      <w:pPr>
        <w:spacing w:after="0"/>
      </w:pPr>
      <w:r>
        <w:t xml:space="preserve">There is no specified length of time for the consultation but it is important that interested groups, </w:t>
      </w:r>
      <w:r w:rsidR="009E7F87">
        <w:t>individuals</w:t>
      </w:r>
      <w:r>
        <w:t xml:space="preserve"> or organisations have a fair chance to respond and ask questions.</w:t>
      </w:r>
      <w:r w:rsidR="002501E6">
        <w:t xml:space="preserve">  It may be approximately two to four weeks.</w:t>
      </w:r>
    </w:p>
    <w:p w14:paraId="5FC9007B" w14:textId="77777777" w:rsidR="00EA1819" w:rsidRDefault="00EA1819" w:rsidP="005930DC">
      <w:pPr>
        <w:spacing w:after="0"/>
      </w:pPr>
    </w:p>
    <w:p w14:paraId="3D246632" w14:textId="77777777" w:rsidR="00EC15DA" w:rsidRDefault="00EC15DA" w:rsidP="00EC15DA">
      <w:pPr>
        <w:spacing w:after="0"/>
      </w:pPr>
    </w:p>
    <w:p w14:paraId="38715B24" w14:textId="77777777" w:rsidR="00EC15DA" w:rsidRDefault="00EC15DA" w:rsidP="00EC15DA">
      <w:pPr>
        <w:spacing w:after="0"/>
      </w:pPr>
    </w:p>
    <w:p w14:paraId="6FC238C9" w14:textId="77777777" w:rsidR="00EC15DA" w:rsidRDefault="00EC15DA">
      <w:r>
        <w:br w:type="page"/>
      </w:r>
    </w:p>
    <w:tbl>
      <w:tblPr>
        <w:tblStyle w:val="TableGrid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077"/>
      </w:tblGrid>
      <w:tr w:rsidR="00EC15DA" w14:paraId="6C790002" w14:textId="77777777" w:rsidTr="00EE78AF">
        <w:trPr>
          <w:jc w:val="center"/>
        </w:trPr>
        <w:tc>
          <w:tcPr>
            <w:tcW w:w="4077" w:type="dxa"/>
            <w:shd w:val="clear" w:color="auto" w:fill="DBE5F1" w:themeFill="accent1" w:themeFillTint="33"/>
          </w:tcPr>
          <w:p w14:paraId="09096684" w14:textId="77777777" w:rsidR="00EC15DA" w:rsidRDefault="00EC15DA" w:rsidP="00EC15DA">
            <w:r>
              <w:lastRenderedPageBreak/>
              <w:br w:type="page"/>
            </w:r>
          </w:p>
          <w:p w14:paraId="48AE9438" w14:textId="77777777" w:rsidR="00EC15DA" w:rsidRDefault="003175FF" w:rsidP="003175FF">
            <w:pPr>
              <w:jc w:val="center"/>
            </w:pPr>
            <w:r>
              <w:t>School wants to become part of a MAC</w:t>
            </w:r>
            <w:r w:rsidR="00EC15DA">
              <w:br/>
            </w:r>
          </w:p>
        </w:tc>
      </w:tr>
    </w:tbl>
    <w:p w14:paraId="79023A7E" w14:textId="77777777" w:rsidR="00EC15DA" w:rsidRPr="009E598B" w:rsidRDefault="00EE78AF" w:rsidP="00EE78AF">
      <w:pPr>
        <w:spacing w:after="0"/>
        <w:jc w:val="center"/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E598B"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ym w:font="Wingdings" w:char="F0EA"/>
      </w:r>
    </w:p>
    <w:tbl>
      <w:tblPr>
        <w:tblStyle w:val="TableGrid"/>
        <w:tblW w:w="0" w:type="auto"/>
        <w:jc w:val="center"/>
        <w:tblInd w:w="64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402"/>
      </w:tblGrid>
      <w:tr w:rsidR="00EC15DA" w14:paraId="4FECA453" w14:textId="77777777" w:rsidTr="00EE78AF">
        <w:trPr>
          <w:jc w:val="center"/>
        </w:trPr>
        <w:tc>
          <w:tcPr>
            <w:tcW w:w="7402" w:type="dxa"/>
            <w:shd w:val="clear" w:color="auto" w:fill="DBE5F1" w:themeFill="accent1" w:themeFillTint="33"/>
          </w:tcPr>
          <w:p w14:paraId="658AF805" w14:textId="77777777" w:rsidR="00EC15DA" w:rsidRDefault="00EC15DA" w:rsidP="00A8137A"/>
          <w:p w14:paraId="1F59C896" w14:textId="77777777" w:rsidR="00724745" w:rsidRDefault="00724745" w:rsidP="00724745">
            <w:pPr>
              <w:jc w:val="center"/>
            </w:pPr>
            <w:r>
              <w:t xml:space="preserve">After a full Governing Body meeting to pass the resolution to become an Academy in a MAC, the individual school Governing Body will need to make a formal submission for approval to the DES [representing the Trustees] </w:t>
            </w:r>
          </w:p>
          <w:p w14:paraId="5270E421" w14:textId="77777777" w:rsidR="00EC15DA" w:rsidRDefault="00EC15DA" w:rsidP="00A8137A">
            <w:pPr>
              <w:jc w:val="center"/>
            </w:pPr>
          </w:p>
        </w:tc>
      </w:tr>
    </w:tbl>
    <w:p w14:paraId="4468D1EE" w14:textId="77777777" w:rsidR="00EE78AF" w:rsidRPr="009E598B" w:rsidRDefault="00EE78AF" w:rsidP="00EE78AF">
      <w:pPr>
        <w:spacing w:after="0"/>
        <w:jc w:val="center"/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E598B"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ym w:font="Wingdings" w:char="F0EA"/>
      </w:r>
    </w:p>
    <w:tbl>
      <w:tblPr>
        <w:tblStyle w:val="TableGrid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046"/>
      </w:tblGrid>
      <w:tr w:rsidR="00EC15DA" w14:paraId="0EDB4AA9" w14:textId="77777777" w:rsidTr="00EE78AF">
        <w:trPr>
          <w:jc w:val="center"/>
        </w:trPr>
        <w:tc>
          <w:tcPr>
            <w:tcW w:w="8046" w:type="dxa"/>
            <w:shd w:val="clear" w:color="auto" w:fill="DBE5F1" w:themeFill="accent1" w:themeFillTint="33"/>
          </w:tcPr>
          <w:p w14:paraId="044A5FC5" w14:textId="77777777" w:rsidR="00EC15DA" w:rsidRDefault="00EC15DA" w:rsidP="00A8137A"/>
          <w:p w14:paraId="3448C6E8" w14:textId="77777777" w:rsidR="00EC15DA" w:rsidRDefault="00724745" w:rsidP="00724745">
            <w:pPr>
              <w:jc w:val="center"/>
            </w:pPr>
            <w:r>
              <w:t>Schools seeking to convert to Academy status, as part of a Multi-Academy Company [MAC], must first seek approval of the Trustees</w:t>
            </w:r>
          </w:p>
          <w:p w14:paraId="670390EA" w14:textId="77777777" w:rsidR="00724745" w:rsidRDefault="00724745" w:rsidP="00724745">
            <w:pPr>
              <w:jc w:val="center"/>
            </w:pPr>
          </w:p>
        </w:tc>
      </w:tr>
    </w:tbl>
    <w:p w14:paraId="0DCBED38" w14:textId="77777777" w:rsidR="00EE78AF" w:rsidRPr="009E598B" w:rsidRDefault="00EE78AF" w:rsidP="00EE78AF">
      <w:pPr>
        <w:spacing w:after="0"/>
        <w:jc w:val="center"/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E598B"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ym w:font="Wingdings" w:char="F0EA"/>
      </w:r>
    </w:p>
    <w:tbl>
      <w:tblPr>
        <w:tblStyle w:val="TableGrid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046"/>
      </w:tblGrid>
      <w:tr w:rsidR="00EC15DA" w14:paraId="2FE37807" w14:textId="77777777" w:rsidTr="00EE78AF">
        <w:trPr>
          <w:jc w:val="center"/>
        </w:trPr>
        <w:tc>
          <w:tcPr>
            <w:tcW w:w="8046" w:type="dxa"/>
            <w:shd w:val="clear" w:color="auto" w:fill="DBE5F1" w:themeFill="accent1" w:themeFillTint="33"/>
          </w:tcPr>
          <w:p w14:paraId="63583D2E" w14:textId="77777777" w:rsidR="00EC15DA" w:rsidRDefault="00EC15DA" w:rsidP="00A8137A"/>
          <w:p w14:paraId="4B30049F" w14:textId="77777777" w:rsidR="00EC15DA" w:rsidRDefault="00EC15DA" w:rsidP="00A8137A">
            <w:pPr>
              <w:jc w:val="center"/>
            </w:pPr>
            <w:r>
              <w:t>When the formal submission for approval has been considered by the DES, a reply will be sent to the Governing Body either</w:t>
            </w:r>
            <w:r w:rsidR="00F5319A">
              <w:t>: -</w:t>
            </w:r>
          </w:p>
          <w:p w14:paraId="0C2E2BB8" w14:textId="77777777" w:rsidR="00724745" w:rsidRDefault="00EC15DA" w:rsidP="00724745">
            <w:pPr>
              <w:pStyle w:val="ListParagraph"/>
              <w:numPr>
                <w:ilvl w:val="0"/>
                <w:numId w:val="7"/>
              </w:numPr>
            </w:pPr>
            <w:r>
              <w:t xml:space="preserve">Granting approval with, a requirement to use the Diocesan Model Academy </w:t>
            </w:r>
            <w:r w:rsidR="00EE78AF">
              <w:t>d</w:t>
            </w:r>
            <w:r>
              <w:t xml:space="preserve">ocuments and no other </w:t>
            </w:r>
          </w:p>
          <w:p w14:paraId="624FF128" w14:textId="77777777" w:rsidR="00EC15DA" w:rsidRDefault="00EC15DA" w:rsidP="00724745">
            <w:pPr>
              <w:pStyle w:val="ListParagraph"/>
              <w:numPr>
                <w:ilvl w:val="0"/>
                <w:numId w:val="7"/>
              </w:numPr>
            </w:pPr>
            <w:r>
              <w:t>Asking to meet with the Governing Body [or Bodies] to discuss further the submission for approval to seek clarification on matters of specific interest to the Trustees</w:t>
            </w:r>
          </w:p>
        </w:tc>
      </w:tr>
    </w:tbl>
    <w:p w14:paraId="44807EFB" w14:textId="77777777" w:rsidR="00EE78AF" w:rsidRPr="009E598B" w:rsidRDefault="00EE78AF" w:rsidP="00EE78AF">
      <w:pPr>
        <w:spacing w:after="0"/>
        <w:jc w:val="center"/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E598B"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ym w:font="Wingdings" w:char="F0EA"/>
      </w:r>
    </w:p>
    <w:tbl>
      <w:tblPr>
        <w:tblStyle w:val="TableGrid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046"/>
      </w:tblGrid>
      <w:tr w:rsidR="00EC15DA" w14:paraId="493E9AB8" w14:textId="77777777" w:rsidTr="00EE78AF">
        <w:trPr>
          <w:jc w:val="center"/>
        </w:trPr>
        <w:tc>
          <w:tcPr>
            <w:tcW w:w="8046" w:type="dxa"/>
            <w:shd w:val="clear" w:color="auto" w:fill="DBE5F1" w:themeFill="accent1" w:themeFillTint="33"/>
          </w:tcPr>
          <w:p w14:paraId="1094463E" w14:textId="77777777" w:rsidR="00EC15DA" w:rsidRDefault="00EC15DA" w:rsidP="00A8137A"/>
          <w:p w14:paraId="235770F2" w14:textId="77777777" w:rsidR="00EC15DA" w:rsidRDefault="00EC15DA" w:rsidP="00A8137A">
            <w:pPr>
              <w:jc w:val="center"/>
            </w:pPr>
            <w:r>
              <w:t>When a school [</w:t>
            </w:r>
            <w:r>
              <w:rPr>
                <w:i/>
              </w:rPr>
              <w:t>or schools</w:t>
            </w:r>
            <w:r>
              <w:t>] has Trustee approval to progress the process for conversion the Governing Body</w:t>
            </w:r>
            <w:r w:rsidR="00F5319A">
              <w:t>: -</w:t>
            </w:r>
          </w:p>
          <w:p w14:paraId="6C94C522" w14:textId="77777777" w:rsidR="00EC15DA" w:rsidRDefault="00EC15DA" w:rsidP="00EC15DA">
            <w:pPr>
              <w:pStyle w:val="ListParagraph"/>
              <w:numPr>
                <w:ilvl w:val="0"/>
                <w:numId w:val="8"/>
              </w:numPr>
            </w:pPr>
            <w:r>
              <w:t>Should delegate the work involved in progressing the process of conversion to a committee</w:t>
            </w:r>
          </w:p>
          <w:p w14:paraId="225BA5A9" w14:textId="77777777" w:rsidR="00EC15DA" w:rsidRDefault="00EC15DA" w:rsidP="00EC15DA">
            <w:pPr>
              <w:pStyle w:val="ListParagraph"/>
              <w:numPr>
                <w:ilvl w:val="0"/>
                <w:numId w:val="8"/>
              </w:numPr>
            </w:pPr>
            <w:r>
              <w:t>Determine who will be the named point of contact for the DfE known in this document as ‘the school’s representative’ and</w:t>
            </w:r>
          </w:p>
          <w:p w14:paraId="30EF050F" w14:textId="77777777" w:rsidR="00724745" w:rsidRDefault="00724745" w:rsidP="00EC15DA">
            <w:pPr>
              <w:pStyle w:val="ListParagraph"/>
              <w:numPr>
                <w:ilvl w:val="0"/>
                <w:numId w:val="8"/>
              </w:numPr>
            </w:pPr>
            <w:r>
              <w:t xml:space="preserve">Register with DfE </w:t>
            </w:r>
          </w:p>
          <w:p w14:paraId="5CA1E0EC" w14:textId="77777777" w:rsidR="00EC15DA" w:rsidRPr="00EC15DA" w:rsidRDefault="00724745" w:rsidP="00724745">
            <w:pPr>
              <w:pStyle w:val="ListParagraph"/>
              <w:numPr>
                <w:ilvl w:val="0"/>
                <w:numId w:val="8"/>
              </w:numPr>
            </w:pPr>
            <w:r>
              <w:t>Apply to consult</w:t>
            </w:r>
            <w:r>
              <w:br/>
              <w:t xml:space="preserve"> </w:t>
            </w:r>
          </w:p>
        </w:tc>
      </w:tr>
    </w:tbl>
    <w:p w14:paraId="01C26EA6" w14:textId="77777777" w:rsidR="00EE78AF" w:rsidRPr="009E598B" w:rsidRDefault="00EE78AF" w:rsidP="00EE78AF">
      <w:pPr>
        <w:spacing w:after="0"/>
        <w:jc w:val="center"/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E598B"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ym w:font="Wingdings" w:char="F0EA"/>
      </w:r>
    </w:p>
    <w:tbl>
      <w:tblPr>
        <w:tblStyle w:val="TableGrid"/>
        <w:tblW w:w="0" w:type="auto"/>
        <w:jc w:val="center"/>
        <w:tblInd w:w="139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243"/>
      </w:tblGrid>
      <w:tr w:rsidR="00EE78AF" w14:paraId="60C1AE76" w14:textId="77777777" w:rsidTr="00EE78AF">
        <w:trPr>
          <w:jc w:val="center"/>
        </w:trPr>
        <w:tc>
          <w:tcPr>
            <w:tcW w:w="5243" w:type="dxa"/>
            <w:shd w:val="clear" w:color="auto" w:fill="DBE5F1" w:themeFill="accent1" w:themeFillTint="33"/>
          </w:tcPr>
          <w:p w14:paraId="1B1B75B4" w14:textId="77777777" w:rsidR="00EE78AF" w:rsidRDefault="00EE78AF" w:rsidP="00A8137A"/>
          <w:p w14:paraId="077F31FE" w14:textId="77777777" w:rsidR="00EE78AF" w:rsidRDefault="00EE78AF" w:rsidP="00A8137A">
            <w:pPr>
              <w:jc w:val="center"/>
            </w:pPr>
            <w:r>
              <w:t>School starts consultation process to be an Academy</w:t>
            </w:r>
          </w:p>
          <w:p w14:paraId="35AD9F36" w14:textId="77777777" w:rsidR="00EE78AF" w:rsidRDefault="00EE78AF" w:rsidP="00A8137A">
            <w:pPr>
              <w:jc w:val="center"/>
            </w:pPr>
          </w:p>
        </w:tc>
      </w:tr>
    </w:tbl>
    <w:p w14:paraId="014EC887" w14:textId="77777777" w:rsidR="00992327" w:rsidRPr="009E598B" w:rsidRDefault="00992327" w:rsidP="00992327">
      <w:pPr>
        <w:spacing w:after="0"/>
        <w:jc w:val="center"/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E598B"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ym w:font="Wingdings" w:char="F0EA"/>
      </w:r>
    </w:p>
    <w:p w14:paraId="466F867C" w14:textId="77777777" w:rsidR="00EE78AF" w:rsidRDefault="00EE78AF" w:rsidP="00EE78AF">
      <w:pPr>
        <w:spacing w:after="0"/>
      </w:pPr>
    </w:p>
    <w:p w14:paraId="3F8719AA" w14:textId="77777777" w:rsidR="00724745" w:rsidRDefault="00724745" w:rsidP="00EE78AF">
      <w:pPr>
        <w:spacing w:after="0"/>
      </w:pPr>
    </w:p>
    <w:p w14:paraId="3CF0732A" w14:textId="77777777" w:rsidR="00EC15DA" w:rsidRDefault="00EC15DA" w:rsidP="00EC15DA">
      <w:pPr>
        <w:spacing w:after="0"/>
      </w:pPr>
    </w:p>
    <w:tbl>
      <w:tblPr>
        <w:tblStyle w:val="TableGrid"/>
        <w:tblW w:w="0" w:type="auto"/>
        <w:jc w:val="center"/>
        <w:tblInd w:w="345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189"/>
      </w:tblGrid>
      <w:tr w:rsidR="00EE78AF" w14:paraId="78EBA173" w14:textId="77777777" w:rsidTr="00EE78AF">
        <w:trPr>
          <w:jc w:val="center"/>
        </w:trPr>
        <w:tc>
          <w:tcPr>
            <w:tcW w:w="3189" w:type="dxa"/>
            <w:shd w:val="clear" w:color="auto" w:fill="DBE5F1" w:themeFill="accent1" w:themeFillTint="33"/>
          </w:tcPr>
          <w:p w14:paraId="6F7ED504" w14:textId="77777777" w:rsidR="00EE78AF" w:rsidRDefault="00EE78AF" w:rsidP="00A8137A"/>
          <w:p w14:paraId="6FBEF495" w14:textId="77777777" w:rsidR="00EE78AF" w:rsidRDefault="00EE78AF" w:rsidP="00A8137A">
            <w:pPr>
              <w:jc w:val="center"/>
            </w:pPr>
            <w:r>
              <w:t>Consultation process decision</w:t>
            </w:r>
          </w:p>
          <w:p w14:paraId="0BB9FB55" w14:textId="77777777" w:rsidR="00EE78AF" w:rsidRDefault="00EE78AF" w:rsidP="00A8137A">
            <w:pPr>
              <w:jc w:val="center"/>
            </w:pPr>
          </w:p>
        </w:tc>
      </w:tr>
    </w:tbl>
    <w:p w14:paraId="029DB41D" w14:textId="77777777" w:rsidR="00EE78AF" w:rsidRPr="009E598B" w:rsidRDefault="00EE78AF" w:rsidP="00EE78AF">
      <w:pPr>
        <w:spacing w:after="0"/>
        <w:jc w:val="center"/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E598B"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ym w:font="Wingdings" w:char="F0EA"/>
      </w:r>
    </w:p>
    <w:tbl>
      <w:tblPr>
        <w:tblStyle w:val="TableGrid"/>
        <w:tblW w:w="0" w:type="auto"/>
        <w:jc w:val="center"/>
        <w:tblInd w:w="2413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28"/>
      </w:tblGrid>
      <w:tr w:rsidR="00EE78AF" w14:paraId="389C9A34" w14:textId="77777777" w:rsidTr="00EE78AF">
        <w:trPr>
          <w:jc w:val="center"/>
        </w:trPr>
        <w:tc>
          <w:tcPr>
            <w:tcW w:w="4228" w:type="dxa"/>
            <w:shd w:val="clear" w:color="auto" w:fill="DBE5F1" w:themeFill="accent1" w:themeFillTint="33"/>
          </w:tcPr>
          <w:p w14:paraId="77136F69" w14:textId="77777777" w:rsidR="00EE78AF" w:rsidRDefault="00EE78AF" w:rsidP="00A8137A"/>
          <w:p w14:paraId="3FA5F5CD" w14:textId="77777777" w:rsidR="00EE78AF" w:rsidRDefault="00EE78AF" w:rsidP="00A8137A">
            <w:pPr>
              <w:jc w:val="center"/>
            </w:pPr>
            <w:r>
              <w:t>School tells DfE re consultation outcome</w:t>
            </w:r>
          </w:p>
          <w:p w14:paraId="5CD37E2E" w14:textId="77777777" w:rsidR="00EE78AF" w:rsidRDefault="00EE78AF" w:rsidP="00A8137A">
            <w:pPr>
              <w:jc w:val="center"/>
            </w:pPr>
          </w:p>
        </w:tc>
      </w:tr>
    </w:tbl>
    <w:p w14:paraId="6AD4A184" w14:textId="77777777" w:rsidR="00EE78AF" w:rsidRPr="009E598B" w:rsidRDefault="00EE78AF" w:rsidP="00EE78AF">
      <w:pPr>
        <w:spacing w:after="0"/>
        <w:jc w:val="center"/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E598B"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ym w:font="Wingdings" w:char="F0EA"/>
      </w:r>
    </w:p>
    <w:tbl>
      <w:tblPr>
        <w:tblStyle w:val="TableGrid"/>
        <w:tblW w:w="0" w:type="auto"/>
        <w:jc w:val="center"/>
        <w:tblInd w:w="2413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28"/>
      </w:tblGrid>
      <w:tr w:rsidR="00EE78AF" w14:paraId="34717327" w14:textId="77777777" w:rsidTr="00EE78AF">
        <w:trPr>
          <w:jc w:val="center"/>
        </w:trPr>
        <w:tc>
          <w:tcPr>
            <w:tcW w:w="4228" w:type="dxa"/>
            <w:shd w:val="clear" w:color="auto" w:fill="DBE5F1" w:themeFill="accent1" w:themeFillTint="33"/>
          </w:tcPr>
          <w:p w14:paraId="7A4542FB" w14:textId="77777777" w:rsidR="00EE78AF" w:rsidRDefault="00EE78AF" w:rsidP="00A8137A"/>
          <w:p w14:paraId="4E27851A" w14:textId="77777777" w:rsidR="00EE78AF" w:rsidRDefault="00EE78AF" w:rsidP="00A8137A">
            <w:pPr>
              <w:jc w:val="center"/>
            </w:pPr>
            <w:r>
              <w:t>School receives Academy order from DfE</w:t>
            </w:r>
          </w:p>
          <w:p w14:paraId="5D2A2244" w14:textId="77777777" w:rsidR="00EE78AF" w:rsidRDefault="00EE78AF" w:rsidP="00A8137A">
            <w:pPr>
              <w:jc w:val="center"/>
            </w:pPr>
          </w:p>
        </w:tc>
      </w:tr>
    </w:tbl>
    <w:p w14:paraId="7F5B80F2" w14:textId="77777777" w:rsidR="00EE78AF" w:rsidRPr="009E598B" w:rsidRDefault="00EE78AF" w:rsidP="00EE78AF">
      <w:pPr>
        <w:spacing w:after="0"/>
        <w:jc w:val="center"/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E598B"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ym w:font="Wingdings" w:char="F0EA"/>
      </w:r>
    </w:p>
    <w:tbl>
      <w:tblPr>
        <w:tblStyle w:val="TableGrid"/>
        <w:tblW w:w="0" w:type="auto"/>
        <w:jc w:val="center"/>
        <w:tblInd w:w="345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189"/>
      </w:tblGrid>
      <w:tr w:rsidR="00EE78AF" w14:paraId="778DF450" w14:textId="77777777" w:rsidTr="00EE78AF">
        <w:trPr>
          <w:jc w:val="center"/>
        </w:trPr>
        <w:tc>
          <w:tcPr>
            <w:tcW w:w="3189" w:type="dxa"/>
            <w:shd w:val="clear" w:color="auto" w:fill="DBE5F1" w:themeFill="accent1" w:themeFillTint="33"/>
          </w:tcPr>
          <w:p w14:paraId="746EC5B0" w14:textId="77777777" w:rsidR="00EE78AF" w:rsidRDefault="00EE78AF" w:rsidP="00A8137A"/>
          <w:p w14:paraId="58A2E1DA" w14:textId="77777777" w:rsidR="00EE78AF" w:rsidRDefault="00EE78AF" w:rsidP="00A8137A">
            <w:pPr>
              <w:jc w:val="center"/>
            </w:pPr>
            <w:r>
              <w:t>School starts conversion work</w:t>
            </w:r>
          </w:p>
          <w:p w14:paraId="7BBF5E34" w14:textId="77777777" w:rsidR="00EE78AF" w:rsidRDefault="00EE78AF" w:rsidP="00A8137A">
            <w:pPr>
              <w:jc w:val="center"/>
            </w:pPr>
          </w:p>
        </w:tc>
      </w:tr>
    </w:tbl>
    <w:p w14:paraId="1BE291FB" w14:textId="77777777" w:rsidR="00EE78AF" w:rsidRPr="009E598B" w:rsidRDefault="00EE78AF" w:rsidP="00EE78AF">
      <w:pPr>
        <w:spacing w:after="0"/>
        <w:jc w:val="center"/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E598B">
        <w:rPr>
          <w:b/>
          <w:color w:val="DBE5F1" w:themeColor="accent1" w:themeTint="33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ym w:font="Wingdings" w:char="F0EA"/>
      </w:r>
    </w:p>
    <w:tbl>
      <w:tblPr>
        <w:tblStyle w:val="TableGrid"/>
        <w:tblW w:w="0" w:type="auto"/>
        <w:jc w:val="center"/>
        <w:tblInd w:w="359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045"/>
      </w:tblGrid>
      <w:tr w:rsidR="00EE78AF" w14:paraId="78DD0423" w14:textId="77777777" w:rsidTr="00EE78AF">
        <w:trPr>
          <w:jc w:val="center"/>
        </w:trPr>
        <w:tc>
          <w:tcPr>
            <w:tcW w:w="3045" w:type="dxa"/>
            <w:shd w:val="clear" w:color="auto" w:fill="DBE5F1" w:themeFill="accent1" w:themeFillTint="33"/>
          </w:tcPr>
          <w:p w14:paraId="5E0719D5" w14:textId="77777777" w:rsidR="00EE78AF" w:rsidRDefault="00EE78AF" w:rsidP="00A8137A"/>
          <w:p w14:paraId="5176DD70" w14:textId="77777777" w:rsidR="00EE78AF" w:rsidRDefault="00EE78AF" w:rsidP="00A8137A">
            <w:pPr>
              <w:jc w:val="center"/>
            </w:pPr>
            <w:r>
              <w:t>School opens as an Academy</w:t>
            </w:r>
          </w:p>
          <w:p w14:paraId="581A0274" w14:textId="77777777" w:rsidR="00EE78AF" w:rsidRDefault="00EE78AF" w:rsidP="00A8137A">
            <w:pPr>
              <w:jc w:val="center"/>
            </w:pPr>
          </w:p>
        </w:tc>
      </w:tr>
    </w:tbl>
    <w:p w14:paraId="51F4B769" w14:textId="77777777" w:rsidR="00EE78AF" w:rsidRDefault="00EE78AF" w:rsidP="00EE78AF">
      <w:pPr>
        <w:spacing w:after="0"/>
        <w:jc w:val="center"/>
      </w:pPr>
    </w:p>
    <w:p w14:paraId="342D2B5C" w14:textId="77777777" w:rsidR="00EE78AF" w:rsidRDefault="00EE78AF" w:rsidP="00EE78AF">
      <w:pPr>
        <w:spacing w:after="0"/>
      </w:pPr>
    </w:p>
    <w:p w14:paraId="43E537B2" w14:textId="77777777" w:rsidR="00EE78AF" w:rsidRDefault="00EE78AF" w:rsidP="00EE78AF">
      <w:pPr>
        <w:spacing w:after="0"/>
      </w:pPr>
    </w:p>
    <w:p w14:paraId="4B96883F" w14:textId="77777777" w:rsidR="00EC15DA" w:rsidRDefault="00EC15DA" w:rsidP="00EC15DA">
      <w:pPr>
        <w:spacing w:after="0"/>
      </w:pPr>
    </w:p>
    <w:p w14:paraId="68F5B7E5" w14:textId="77777777" w:rsidR="00EC15DA" w:rsidRDefault="00EC15DA" w:rsidP="00EC15DA">
      <w:pPr>
        <w:spacing w:after="0"/>
      </w:pPr>
    </w:p>
    <w:p w14:paraId="359CB252" w14:textId="77777777" w:rsidR="00EC15DA" w:rsidRDefault="00EC15DA" w:rsidP="00EC15DA">
      <w:pPr>
        <w:spacing w:after="0"/>
      </w:pPr>
    </w:p>
    <w:sectPr w:rsidR="00EC15D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F5352" w14:textId="77777777" w:rsidR="003E4B84" w:rsidRDefault="003E4B84" w:rsidP="005930DC">
      <w:pPr>
        <w:spacing w:after="0" w:line="240" w:lineRule="auto"/>
      </w:pPr>
      <w:r>
        <w:separator/>
      </w:r>
    </w:p>
  </w:endnote>
  <w:endnote w:type="continuationSeparator" w:id="0">
    <w:p w14:paraId="4BF71777" w14:textId="77777777" w:rsidR="003E4B84" w:rsidRDefault="003E4B84" w:rsidP="0059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2249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75724A0" w14:textId="77777777" w:rsidR="007A11E2" w:rsidRDefault="007A11E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3B8" w:rsidRPr="001C43B8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524E0FE" w14:textId="77777777" w:rsidR="007A11E2" w:rsidRDefault="007A11E2" w:rsidP="005930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29F7A" w14:textId="77777777" w:rsidR="003E4B84" w:rsidRDefault="003E4B84" w:rsidP="005930DC">
      <w:pPr>
        <w:spacing w:after="0" w:line="240" w:lineRule="auto"/>
      </w:pPr>
      <w:r>
        <w:separator/>
      </w:r>
    </w:p>
  </w:footnote>
  <w:footnote w:type="continuationSeparator" w:id="0">
    <w:p w14:paraId="1FA9AF62" w14:textId="77777777" w:rsidR="003E4B84" w:rsidRDefault="003E4B84" w:rsidP="00593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E9F"/>
    <w:multiLevelType w:val="hybridMultilevel"/>
    <w:tmpl w:val="172A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8D4"/>
    <w:multiLevelType w:val="hybridMultilevel"/>
    <w:tmpl w:val="58E26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F1151"/>
    <w:multiLevelType w:val="hybridMultilevel"/>
    <w:tmpl w:val="0A2EC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40C69"/>
    <w:multiLevelType w:val="hybridMultilevel"/>
    <w:tmpl w:val="8CA6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B58AD"/>
    <w:multiLevelType w:val="hybridMultilevel"/>
    <w:tmpl w:val="3384C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E771E"/>
    <w:multiLevelType w:val="hybridMultilevel"/>
    <w:tmpl w:val="25DA6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C2B15"/>
    <w:multiLevelType w:val="hybridMultilevel"/>
    <w:tmpl w:val="DC6A6F28"/>
    <w:lvl w:ilvl="0" w:tplc="F7503E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4655C4"/>
    <w:multiLevelType w:val="hybridMultilevel"/>
    <w:tmpl w:val="03EE1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37D91"/>
    <w:multiLevelType w:val="hybridMultilevel"/>
    <w:tmpl w:val="BA362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20"/>
    <w:rsid w:val="001C43B8"/>
    <w:rsid w:val="0021229B"/>
    <w:rsid w:val="0023364B"/>
    <w:rsid w:val="002501E6"/>
    <w:rsid w:val="00250E12"/>
    <w:rsid w:val="003175FF"/>
    <w:rsid w:val="0035320D"/>
    <w:rsid w:val="003D3041"/>
    <w:rsid w:val="003E4B84"/>
    <w:rsid w:val="0040362C"/>
    <w:rsid w:val="004C1C86"/>
    <w:rsid w:val="005930DC"/>
    <w:rsid w:val="005C7C23"/>
    <w:rsid w:val="00724745"/>
    <w:rsid w:val="007A084A"/>
    <w:rsid w:val="007A11E2"/>
    <w:rsid w:val="008024D1"/>
    <w:rsid w:val="00857A43"/>
    <w:rsid w:val="00992327"/>
    <w:rsid w:val="009E598B"/>
    <w:rsid w:val="009E7F87"/>
    <w:rsid w:val="00A8137A"/>
    <w:rsid w:val="00B5403F"/>
    <w:rsid w:val="00B82020"/>
    <w:rsid w:val="00C20CE2"/>
    <w:rsid w:val="00CF0CD6"/>
    <w:rsid w:val="00EA1819"/>
    <w:rsid w:val="00EC15DA"/>
    <w:rsid w:val="00EE78AF"/>
    <w:rsid w:val="00F43980"/>
    <w:rsid w:val="00F5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23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DC"/>
  </w:style>
  <w:style w:type="paragraph" w:styleId="Footer">
    <w:name w:val="footer"/>
    <w:basedOn w:val="Normal"/>
    <w:link w:val="FooterChar"/>
    <w:uiPriority w:val="99"/>
    <w:unhideWhenUsed/>
    <w:rsid w:val="00593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DC"/>
  </w:style>
  <w:style w:type="table" w:styleId="TableGrid">
    <w:name w:val="Table Grid"/>
    <w:basedOn w:val="TableNormal"/>
    <w:uiPriority w:val="59"/>
    <w:rsid w:val="00EC1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DC"/>
  </w:style>
  <w:style w:type="paragraph" w:styleId="Footer">
    <w:name w:val="footer"/>
    <w:basedOn w:val="Normal"/>
    <w:link w:val="FooterChar"/>
    <w:uiPriority w:val="99"/>
    <w:unhideWhenUsed/>
    <w:rsid w:val="00593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DC"/>
  </w:style>
  <w:style w:type="table" w:styleId="TableGrid">
    <w:name w:val="Table Grid"/>
    <w:basedOn w:val="TableNormal"/>
    <w:uiPriority w:val="59"/>
    <w:rsid w:val="00EC1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7B2D-2730-42F0-A992-0133A1A4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Admin</cp:lastModifiedBy>
  <cp:revision>2</cp:revision>
  <cp:lastPrinted>2013-06-21T14:11:00Z</cp:lastPrinted>
  <dcterms:created xsi:type="dcterms:W3CDTF">2013-11-25T10:35:00Z</dcterms:created>
  <dcterms:modified xsi:type="dcterms:W3CDTF">2013-11-25T10:35:00Z</dcterms:modified>
</cp:coreProperties>
</file>